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58861D8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pStyle w:val="Normal"/>
        <w:spacing w:line="360" w:lineRule="auto"/>
      </w:pPr>
    </w:p>
    <w:p w:rsidRPr="00FA5DE7" w:rsidR="00FA5DE7" w:rsidP="4633653B" w:rsidRDefault="18B9B8C4" w14:paraId="20F8F9B4" w14:textId="40E4B9DE">
      <w:pPr>
        <w:pStyle w:val="Normal"/>
        <w:spacing w:line="360" w:lineRule="auto"/>
      </w:pPr>
      <w:r w:rsidR="3B8B6F98">
        <w:rPr/>
        <w:t xml:space="preserve">December </w:t>
      </w:r>
      <w:r w:rsidR="4FA13495">
        <w:rPr/>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6D53395B">
      <w:pPr>
        <w:spacing w:line="360" w:lineRule="auto"/>
        <w:rPr>
          <w:b w:val="1"/>
          <w:bCs w:val="1"/>
        </w:rPr>
      </w:pPr>
      <w:r w:rsidRPr="3B5F1674" w:rsidR="00FA5DE7">
        <w:rPr>
          <w:b w:val="1"/>
          <w:bCs w:val="1"/>
        </w:rPr>
        <w:t>To</w:t>
      </w:r>
      <w:r w:rsidRPr="3B5F1674" w:rsidR="1F32060A">
        <w:rPr>
          <w:b w:val="1"/>
          <w:bCs w:val="1"/>
        </w:rPr>
        <w:t xml:space="preserve"> </w:t>
      </w:r>
      <w:r w:rsidRPr="3B5F1674" w:rsidR="6247E35F">
        <w:rPr>
          <w:b w:val="1"/>
          <w:bCs w:val="1"/>
        </w:rPr>
        <w:t>Social Services and Community Select Committee</w:t>
      </w:r>
    </w:p>
    <w:p w:rsidRPr="00FA5DE7" w:rsidR="00FA5DE7" w:rsidP="003A2E54" w:rsidRDefault="00FA5DE7" w14:paraId="41E6D60F" w14:textId="0BB590B2">
      <w:pPr>
        <w:spacing w:line="360" w:lineRule="auto"/>
      </w:pPr>
      <w:r w:rsidR="00FA5DE7">
        <w:rPr/>
        <w:t xml:space="preserve">Please find attached </w:t>
      </w:r>
      <w:r w:rsidR="4DD48A6F">
        <w:rPr/>
        <w:t xml:space="preserve">our submission on the Oversight of </w:t>
      </w:r>
      <w:r w:rsidR="4DD48A6F">
        <w:rPr/>
        <w:t>Oranga</w:t>
      </w:r>
      <w:r w:rsidR="4DD48A6F">
        <w:rPr/>
        <w:t xml:space="preserve"> Tamariki System Legislation Amendment Bill </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afterAutospacing="off" w:line="360" w:lineRule="auto"/>
      </w:pPr>
      <w:r w:rsidR="00FA5DE7">
        <w:rPr/>
        <w:t>For any further inquiries, please contact:</w:t>
      </w:r>
    </w:p>
    <w:p w:rsidR="00FA5DE7" w:rsidP="643B6457" w:rsidRDefault="00B466BA" w14:paraId="13BB8F8F" w14:textId="7DB3387B">
      <w:pPr>
        <w:spacing w:after="0" w:afterAutospacing="off" w:line="360" w:lineRule="auto"/>
      </w:pPr>
      <w:r w:rsidR="7CE88322">
        <w:rPr/>
        <w:t>Chris Ford</w:t>
      </w:r>
    </w:p>
    <w:p w:rsidR="7CE88322" w:rsidP="2D646C15" w:rsidRDefault="7CE88322" w14:paraId="5A333E06" w14:textId="17E0784F">
      <w:pPr>
        <w:pStyle w:val="Normal"/>
        <w:spacing w:after="0" w:afterAutospacing="off" w:line="360" w:lineRule="auto"/>
      </w:pPr>
      <w:r w:rsidR="7CE88322">
        <w:rPr/>
        <w:t>Policy Advisor – Southern and Central</w:t>
      </w:r>
    </w:p>
    <w:p w:rsidRPr="001D0A95" w:rsidR="00FA5DE7" w:rsidP="2D646C15" w:rsidRDefault="00FA5DE7" w14:paraId="3C20F521" w14:textId="45DF5A16">
      <w:pPr>
        <w:pStyle w:val="Normal"/>
        <w:spacing w:after="0" w:afterAutospacing="off" w:line="360" w:lineRule="auto"/>
      </w:pPr>
      <w:hyperlink r:id="R40757c4f74a64db5">
        <w:r w:rsidRPr="2D646C15" w:rsidR="00FA5DE7">
          <w:rPr>
            <w:rStyle w:val="Hyperlink"/>
          </w:rPr>
          <w:t>policy@dpa.org.nz</w:t>
        </w:r>
      </w:hyperlink>
    </w:p>
    <w:p w:rsidR="2D646C15" w:rsidP="2D646C15" w:rsidRDefault="2D646C15" w14:paraId="55CD6104" w14:textId="250E11BB">
      <w:pPr>
        <w:pStyle w:val="Normal"/>
        <w:spacing w:after="0" w:afterAutospacing="off"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2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5">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2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24"/>
        </w:numPr>
        <w:spacing w:after="200" w:line="360" w:lineRule="auto"/>
        <w:rPr>
          <w:lang w:val="en-US"/>
        </w:rPr>
      </w:pPr>
      <w:r w:rsidRPr="004E3921">
        <w:rPr>
          <w:lang w:val="en-US"/>
        </w:rPr>
        <w:t xml:space="preserve">the </w:t>
      </w:r>
      <w:hyperlink w:history="1" r:id="rId16">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24"/>
        </w:numPr>
        <w:spacing w:after="200" w:line="360" w:lineRule="auto"/>
        <w:rPr>
          <w:lang w:val="en-US"/>
        </w:rPr>
      </w:pPr>
      <w:r w:rsidRPr="004E3921">
        <w:rPr>
          <w:lang w:val="en-US"/>
        </w:rPr>
        <w:t xml:space="preserve">the </w:t>
      </w:r>
      <w:hyperlink w:history="1" r:id="rId17">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24"/>
        </w:numPr>
        <w:spacing w:after="200" w:line="360" w:lineRule="auto"/>
        <w:rPr>
          <w:lang w:val="en-US"/>
        </w:rPr>
      </w:pPr>
      <w:r w:rsidRPr="004E3921">
        <w:rPr>
          <w:lang w:val="en-US"/>
        </w:rPr>
        <w:t xml:space="preserve">the </w:t>
      </w:r>
      <w:hyperlink w:history="1" r:id="rId18">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24"/>
        </w:numPr>
        <w:spacing w:after="200" w:line="360" w:lineRule="auto"/>
        <w:rPr>
          <w:lang w:val="en-US"/>
        </w:rPr>
      </w:pPr>
      <w:r w:rsidRPr="004E3921">
        <w:rPr>
          <w:lang w:val="en-US"/>
        </w:rPr>
        <w:t xml:space="preserve">the </w:t>
      </w:r>
      <w:hyperlink w:history="1" r:id="rId19">
        <w:r w:rsidRPr="004E3921">
          <w:rPr>
            <w:rStyle w:val="Hyperlink"/>
            <w:lang w:val="en-US"/>
          </w:rPr>
          <w:t>Enabling Good Lives Principles</w:t>
        </w:r>
      </w:hyperlink>
      <w:r w:rsidRPr="004E3921">
        <w:rPr>
          <w:lang w:val="en-US"/>
        </w:rPr>
        <w:t xml:space="preserve">, </w:t>
      </w:r>
      <w:hyperlink w:history="1" r:id="rId20">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sidR="00C0742F">
        <w:rPr>
          <w:b w:val="1"/>
          <w:bCs w:val="1"/>
          <w:lang w:val="en-US"/>
        </w:rPr>
        <w:t xml:space="preserve">We drive systemic change through: </w:t>
      </w:r>
    </w:p>
    <w:p w:rsidR="00D0003F" w:rsidP="5B856C2B" w:rsidRDefault="00D0003F" w14:paraId="3E898EFB" w14:textId="1BFAA0BC">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Rangatiratanga / Leadership</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reflecting the collective voice of disabled people, locally, nationally and internationally. </w:t>
      </w:r>
    </w:p>
    <w:p w:rsidR="00D0003F" w:rsidP="5B856C2B" w:rsidRDefault="00D0003F" w14:paraId="5E313AAE" w14:textId="3143CEF1">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Pārongo me te tohutohu / Information and advice</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informing and advising on policies impacting on the lives of disabled people.</w:t>
      </w:r>
    </w:p>
    <w:p w:rsidR="00D0003F" w:rsidP="5B856C2B" w:rsidRDefault="00D0003F" w14:paraId="37F3989E" w14:textId="44D9EA9B">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Kōkiri / Advocacy</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supporting disabled people to have a voice, including a collective voice, in society.</w:t>
      </w:r>
    </w:p>
    <w:p w:rsidR="00D0003F" w:rsidP="2D646C15" w:rsidRDefault="00D0003F" w14:paraId="5A6BF054" w14:textId="7C0702A5">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3F58A3B" w:rsidR="0AC189A2">
        <w:rPr>
          <w:rFonts w:ascii="Arial" w:hAnsi="Arial" w:eastAsia="Arial" w:cs="Arial"/>
          <w:b w:val="1"/>
          <w:bCs w:val="1"/>
          <w:i w:val="0"/>
          <w:iCs w:val="0"/>
          <w:caps w:val="0"/>
          <w:smallCaps w:val="0"/>
          <w:noProof w:val="0"/>
          <w:color w:val="000000" w:themeColor="text1" w:themeTint="FF" w:themeShade="FF"/>
          <w:sz w:val="24"/>
          <w:szCs w:val="24"/>
          <w:lang w:val="en-NZ"/>
        </w:rPr>
        <w:t>Aroturuki</w:t>
      </w:r>
      <w:r w:rsidRPr="73F58A3B" w:rsidR="0AC189A2">
        <w:rPr>
          <w:rFonts w:ascii="Arial" w:hAnsi="Arial" w:eastAsia="Arial" w:cs="Arial"/>
          <w:b w:val="1"/>
          <w:bCs w:val="1"/>
          <w:i w:val="0"/>
          <w:iCs w:val="0"/>
          <w:caps w:val="0"/>
          <w:smallCaps w:val="0"/>
          <w:noProof w:val="0"/>
          <w:color w:val="000000" w:themeColor="text1" w:themeTint="FF" w:themeShade="FF"/>
          <w:sz w:val="24"/>
          <w:szCs w:val="24"/>
          <w:lang w:val="en-NZ"/>
        </w:rPr>
        <w:t xml:space="preserve"> / Monitoring</w:t>
      </w:r>
      <w:r w:rsidRPr="73F58A3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monitoring and giving feedback on existing laws, </w:t>
      </w:r>
      <w:r w:rsidRPr="73F58A3B" w:rsidR="0AC189A2">
        <w:rPr>
          <w:rFonts w:ascii="Arial" w:hAnsi="Arial" w:eastAsia="Arial" w:cs="Arial"/>
          <w:b w:val="0"/>
          <w:bCs w:val="0"/>
          <w:i w:val="0"/>
          <w:iCs w:val="0"/>
          <w:caps w:val="0"/>
          <w:smallCaps w:val="0"/>
          <w:noProof w:val="0"/>
          <w:color w:val="000000" w:themeColor="text1" w:themeTint="FF" w:themeShade="FF"/>
          <w:sz w:val="24"/>
          <w:szCs w:val="24"/>
          <w:lang w:val="en-NZ"/>
        </w:rPr>
        <w:t>policies</w:t>
      </w:r>
      <w:r w:rsidRPr="73F58A3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and practices about and relevant to disabled people.</w:t>
      </w:r>
    </w:p>
    <w:p w:rsidR="00BB7E50" w:rsidP="73F58A3B" w:rsidRDefault="006C30CF" w14:paraId="1A54B98D" w14:textId="5F3C54C9">
      <w:pPr>
        <w:pStyle w:val="Heading2"/>
        <w:keepNext w:val="1"/>
        <w:keepLines w:val="1"/>
        <w:spacing w:before="240" w:after="120" w:line="240" w:lineRule="auto"/>
        <w:rPr>
          <w:rFonts w:ascii="Arial" w:hAnsi="Arial" w:eastAsia="Arial" w:cs="Arial"/>
          <w:b w:val="1"/>
          <w:bCs w:val="1"/>
          <w:i w:val="0"/>
          <w:iCs w:val="0"/>
          <w:caps w:val="0"/>
          <w:smallCaps w:val="0"/>
          <w:noProof w:val="0"/>
          <w:color w:val="002060"/>
          <w:sz w:val="32"/>
          <w:szCs w:val="32"/>
          <w:lang w:val="en-NZ"/>
        </w:rPr>
      </w:pPr>
      <w:r w:rsidRPr="73F58A3B" w:rsidR="1736356D">
        <w:rPr>
          <w:rFonts w:ascii="Arial" w:hAnsi="Arial" w:eastAsia="Arial" w:cs="Arial"/>
          <w:b w:val="1"/>
          <w:bCs w:val="1"/>
          <w:i w:val="0"/>
          <w:iCs w:val="0"/>
          <w:caps w:val="0"/>
          <w:smallCaps w:val="0"/>
          <w:noProof w:val="0"/>
          <w:color w:val="002060"/>
          <w:sz w:val="32"/>
          <w:szCs w:val="32"/>
          <w:lang w:val="en-NZ"/>
        </w:rPr>
        <w:t>United Nations Convention on the Rights of Persons with Disabilities</w:t>
      </w:r>
    </w:p>
    <w:p w:rsidR="00BB7E50" w:rsidP="51171975" w:rsidRDefault="006C30CF" w14:paraId="501B65DB" w14:textId="10FA16AA">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DPA was influential in creating the United Nations Convention on the Rights of Persons with Disabilities (UNCRPD),</w:t>
      </w:r>
      <w:r w:rsidRPr="51171975">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977"/>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006C30CF" w14:paraId="042EE74D" w14:textId="17813AF0">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3F58A3B" w:rsidR="1736356D">
        <w:rPr>
          <w:rFonts w:ascii="Arial" w:hAnsi="Arial" w:eastAsia="Arial" w:cs="Arial"/>
          <w:b w:val="0"/>
          <w:bCs w:val="0"/>
          <w:i w:val="0"/>
          <w:iCs w:val="0"/>
          <w:caps w:val="0"/>
          <w:smallCaps w:val="0"/>
          <w:noProof w:val="0"/>
          <w:color w:val="000000" w:themeColor="text1" w:themeTint="FF" w:themeShade="FF"/>
          <w:sz w:val="24"/>
          <w:szCs w:val="24"/>
          <w:lang w:val="en-NZ"/>
        </w:rPr>
        <w:t>The following UNCRPD articles are particularly relevant to this submission:</w:t>
      </w:r>
    </w:p>
    <w:p w:rsidR="00BB7E50" w:rsidP="3ADF0089" w:rsidRDefault="006C30CF" w14:paraId="60E9052B" w14:textId="37D33494">
      <w:pPr>
        <w:pStyle w:val="ListParagraph"/>
        <w:keepNext w:val="0"/>
        <w:keepLines w:val="0"/>
        <w:numPr>
          <w:ilvl w:val="0"/>
          <w:numId w:val="42"/>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3ADF0089" w:rsidR="1736356D">
        <w:rPr>
          <w:rFonts w:ascii="Arial" w:hAnsi="Arial" w:eastAsia="Arial" w:cs="Arial"/>
          <w:b w:val="1"/>
          <w:bCs w:val="1"/>
          <w:i w:val="0"/>
          <w:iCs w:val="0"/>
          <w:caps w:val="0"/>
          <w:smallCaps w:val="0"/>
          <w:noProof w:val="0"/>
          <w:color w:val="000000" w:themeColor="text1" w:themeTint="FF" w:themeShade="FF"/>
          <w:sz w:val="24"/>
          <w:szCs w:val="24"/>
          <w:lang w:val="en-NZ"/>
        </w:rPr>
        <w:t xml:space="preserve">Article </w:t>
      </w:r>
      <w:r w:rsidRPr="3ADF0089" w:rsidR="13287B2D">
        <w:rPr>
          <w:rFonts w:ascii="Arial" w:hAnsi="Arial" w:eastAsia="Arial" w:cs="Arial"/>
          <w:b w:val="1"/>
          <w:bCs w:val="1"/>
          <w:i w:val="0"/>
          <w:iCs w:val="0"/>
          <w:caps w:val="0"/>
          <w:smallCaps w:val="0"/>
          <w:noProof w:val="0"/>
          <w:color w:val="000000" w:themeColor="text1" w:themeTint="FF" w:themeShade="FF"/>
          <w:sz w:val="24"/>
          <w:szCs w:val="24"/>
          <w:lang w:val="en-NZ"/>
        </w:rPr>
        <w:t>7 – Children with disabilities</w:t>
      </w:r>
    </w:p>
    <w:p w:rsidR="13287B2D" w:rsidP="3ADF0089" w:rsidRDefault="13287B2D" w14:paraId="75CD1960" w14:textId="722C2DC5">
      <w:pPr>
        <w:pStyle w:val="ListParagraph"/>
        <w:keepNext w:val="0"/>
        <w:keepLines w:val="0"/>
        <w:numPr>
          <w:ilvl w:val="0"/>
          <w:numId w:val="42"/>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3ADF0089" w:rsidR="13287B2D">
        <w:rPr>
          <w:rFonts w:ascii="Arial" w:hAnsi="Arial" w:eastAsia="Arial" w:cs="Arial"/>
          <w:b w:val="1"/>
          <w:bCs w:val="1"/>
          <w:i w:val="0"/>
          <w:iCs w:val="0"/>
          <w:caps w:val="0"/>
          <w:smallCaps w:val="0"/>
          <w:noProof w:val="0"/>
          <w:color w:val="000000" w:themeColor="text1" w:themeTint="FF" w:themeShade="FF"/>
          <w:sz w:val="24"/>
          <w:szCs w:val="24"/>
          <w:lang w:val="en-NZ"/>
        </w:rPr>
        <w:t xml:space="preserve">Article 15 – Freedom from torture or cruel, </w:t>
      </w:r>
      <w:r w:rsidRPr="3ADF0089" w:rsidR="13287B2D">
        <w:rPr>
          <w:rFonts w:ascii="Arial" w:hAnsi="Arial" w:eastAsia="Arial" w:cs="Arial"/>
          <w:b w:val="1"/>
          <w:bCs w:val="1"/>
          <w:i w:val="0"/>
          <w:iCs w:val="0"/>
          <w:caps w:val="0"/>
          <w:smallCaps w:val="0"/>
          <w:noProof w:val="0"/>
          <w:color w:val="000000" w:themeColor="text1" w:themeTint="FF" w:themeShade="FF"/>
          <w:sz w:val="24"/>
          <w:szCs w:val="24"/>
          <w:lang w:val="en-NZ"/>
        </w:rPr>
        <w:t>inhuman</w:t>
      </w:r>
      <w:r w:rsidRPr="3ADF0089" w:rsidR="13287B2D">
        <w:rPr>
          <w:rFonts w:ascii="Arial" w:hAnsi="Arial" w:eastAsia="Arial" w:cs="Arial"/>
          <w:b w:val="1"/>
          <w:bCs w:val="1"/>
          <w:i w:val="0"/>
          <w:iCs w:val="0"/>
          <w:caps w:val="0"/>
          <w:smallCaps w:val="0"/>
          <w:noProof w:val="0"/>
          <w:color w:val="000000" w:themeColor="text1" w:themeTint="FF" w:themeShade="FF"/>
          <w:sz w:val="24"/>
          <w:szCs w:val="24"/>
          <w:lang w:val="en-NZ"/>
        </w:rPr>
        <w:t xml:space="preserve"> or degrading treatment or punishment</w:t>
      </w:r>
    </w:p>
    <w:p w:rsidR="13287B2D" w:rsidP="3ADF0089" w:rsidRDefault="13287B2D" w14:paraId="20631029" w14:textId="1D9B4665">
      <w:pPr>
        <w:pStyle w:val="ListParagraph"/>
        <w:keepNext w:val="0"/>
        <w:keepLines w:val="0"/>
        <w:numPr>
          <w:ilvl w:val="0"/>
          <w:numId w:val="42"/>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3ADF0089" w:rsidR="13287B2D">
        <w:rPr>
          <w:rFonts w:ascii="Arial" w:hAnsi="Arial" w:eastAsia="Arial" w:cs="Arial"/>
          <w:b w:val="1"/>
          <w:bCs w:val="1"/>
          <w:i w:val="0"/>
          <w:iCs w:val="0"/>
          <w:caps w:val="0"/>
          <w:smallCaps w:val="0"/>
          <w:noProof w:val="0"/>
          <w:color w:val="000000" w:themeColor="text1" w:themeTint="FF" w:themeShade="FF"/>
          <w:sz w:val="24"/>
          <w:szCs w:val="24"/>
          <w:lang w:val="en-NZ"/>
        </w:rPr>
        <w:t>Article 16 – Freedom from exploitation, violence and abuse</w:t>
      </w:r>
    </w:p>
    <w:p w:rsidR="00BB7E50" w:rsidP="73F58A3B" w:rsidRDefault="006C30CF" w14:paraId="04551FE7" w14:textId="20C779F4">
      <w:pPr>
        <w:pStyle w:val="Heading2"/>
        <w:keepNext w:val="1"/>
        <w:keepLines w:val="1"/>
        <w:spacing w:before="240" w:after="120" w:line="360" w:lineRule="auto"/>
        <w:ind w:left="578" w:hanging="578"/>
        <w:rPr>
          <w:rFonts w:ascii="Arial" w:hAnsi="Arial" w:eastAsia="Arial" w:cs="Arial"/>
          <w:b w:val="1"/>
          <w:bCs w:val="1"/>
          <w:i w:val="0"/>
          <w:iCs w:val="0"/>
          <w:caps w:val="0"/>
          <w:smallCaps w:val="0"/>
          <w:noProof w:val="0"/>
          <w:color w:val="002060"/>
          <w:sz w:val="32"/>
          <w:szCs w:val="32"/>
          <w:lang w:val="en-NZ"/>
        </w:rPr>
      </w:pPr>
      <w:r w:rsidRPr="73F58A3B" w:rsidR="1736356D">
        <w:rPr>
          <w:rFonts w:ascii="Arial" w:hAnsi="Arial" w:eastAsia="Arial" w:cs="Arial"/>
          <w:b w:val="1"/>
          <w:bCs w:val="1"/>
          <w:i w:val="0"/>
          <w:iCs w:val="0"/>
          <w:caps w:val="0"/>
          <w:smallCaps w:val="0"/>
          <w:noProof w:val="0"/>
          <w:color w:val="002060"/>
          <w:sz w:val="32"/>
          <w:szCs w:val="32"/>
          <w:lang w:val="en-NZ"/>
        </w:rPr>
        <w:t>New Zealand Disability Strategy 2016-2026</w:t>
      </w:r>
    </w:p>
    <w:p w:rsidR="00BB7E50" w:rsidP="51171975" w:rsidRDefault="006C30CF" w14:paraId="28F852EE" w14:textId="1FD5D76A">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 xml:space="preserve">Since ratifying the UNCRPD, the New Zealand Government has </w:t>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established</w:t>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 xml:space="preserve"> a Disability Strategy</w:t>
      </w:r>
      <w:r w:rsidRPr="51171975">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14411"/>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w:t>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identifies</w:t>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 xml:space="preserve"> eight outcome areas contributing to achieving this vision.</w:t>
      </w:r>
    </w:p>
    <w:p w:rsidR="00BB7E50" w:rsidP="73F58A3B" w:rsidRDefault="006C30CF" w14:paraId="33AEC4DC" w14:textId="130AA19E">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3F58A3B" w:rsidR="1736356D">
        <w:rPr>
          <w:rFonts w:ascii="Arial" w:hAnsi="Arial" w:eastAsia="Arial" w:cs="Arial"/>
          <w:b w:val="0"/>
          <w:bCs w:val="0"/>
          <w:i w:val="0"/>
          <w:iCs w:val="0"/>
          <w:caps w:val="0"/>
          <w:smallCaps w:val="0"/>
          <w:noProof w:val="0"/>
          <w:color w:val="000000" w:themeColor="text1" w:themeTint="FF" w:themeShade="FF"/>
          <w:sz w:val="24"/>
          <w:szCs w:val="24"/>
          <w:lang w:val="en-NZ"/>
        </w:rPr>
        <w:t>The following outcomes are particularly relevant to this submission:</w:t>
      </w:r>
    </w:p>
    <w:p w:rsidR="00BB7E50" w:rsidP="3ADF0089" w:rsidRDefault="006C30CF" w14:paraId="74D646EE" w14:textId="51036CF3">
      <w:pPr>
        <w:pStyle w:val="ListParagraph"/>
        <w:keepNext w:val="0"/>
        <w:keepLines w:val="0"/>
        <w:numPr>
          <w:ilvl w:val="0"/>
          <w:numId w:val="42"/>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3ADF0089" w:rsidR="1736356D">
        <w:rPr>
          <w:rFonts w:ascii="Arial" w:hAnsi="Arial" w:eastAsia="Arial" w:cs="Arial"/>
          <w:b w:val="1"/>
          <w:bCs w:val="1"/>
          <w:i w:val="0"/>
          <w:iCs w:val="0"/>
          <w:caps w:val="0"/>
          <w:smallCaps w:val="0"/>
          <w:noProof w:val="0"/>
          <w:color w:val="000000" w:themeColor="text1" w:themeTint="FF" w:themeShade="FF"/>
          <w:sz w:val="24"/>
          <w:szCs w:val="24"/>
          <w:lang w:val="en-NZ"/>
        </w:rPr>
        <w:t xml:space="preserve">Outcome </w:t>
      </w:r>
      <w:r w:rsidRPr="3ADF0089" w:rsidR="4E3B24FB">
        <w:rPr>
          <w:rFonts w:ascii="Arial" w:hAnsi="Arial" w:eastAsia="Arial" w:cs="Arial"/>
          <w:b w:val="1"/>
          <w:bCs w:val="1"/>
          <w:i w:val="0"/>
          <w:iCs w:val="0"/>
          <w:caps w:val="0"/>
          <w:smallCaps w:val="0"/>
          <w:noProof w:val="0"/>
          <w:color w:val="000000" w:themeColor="text1" w:themeTint="FF" w:themeShade="FF"/>
          <w:sz w:val="24"/>
          <w:szCs w:val="24"/>
          <w:lang w:val="en-NZ"/>
        </w:rPr>
        <w:t>1 - Education</w:t>
      </w:r>
    </w:p>
    <w:p w:rsidR="00BB7E50" w:rsidP="3ADF0089" w:rsidRDefault="006C30CF" w14:paraId="501C396A" w14:textId="58810949">
      <w:pPr>
        <w:pStyle w:val="ListParagraph"/>
        <w:keepNext w:val="0"/>
        <w:keepLines w:val="0"/>
        <w:numPr>
          <w:ilvl w:val="0"/>
          <w:numId w:val="42"/>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3ADF0089" w:rsidR="1736356D">
        <w:rPr>
          <w:rFonts w:ascii="Arial" w:hAnsi="Arial" w:eastAsia="Arial" w:cs="Arial"/>
          <w:b w:val="1"/>
          <w:bCs w:val="1"/>
          <w:i w:val="0"/>
          <w:iCs w:val="0"/>
          <w:caps w:val="0"/>
          <w:smallCaps w:val="0"/>
          <w:noProof w:val="0"/>
          <w:color w:val="000000" w:themeColor="text1" w:themeTint="FF" w:themeShade="FF"/>
          <w:sz w:val="24"/>
          <w:szCs w:val="24"/>
          <w:lang w:val="en-NZ"/>
        </w:rPr>
        <w:t>Outco</w:t>
      </w:r>
      <w:r w:rsidRPr="3ADF0089" w:rsidR="70870600">
        <w:rPr>
          <w:rFonts w:ascii="Arial" w:hAnsi="Arial" w:eastAsia="Arial" w:cs="Arial"/>
          <w:b w:val="1"/>
          <w:bCs w:val="1"/>
          <w:i w:val="0"/>
          <w:iCs w:val="0"/>
          <w:caps w:val="0"/>
          <w:smallCaps w:val="0"/>
          <w:noProof w:val="0"/>
          <w:color w:val="000000" w:themeColor="text1" w:themeTint="FF" w:themeShade="FF"/>
          <w:sz w:val="24"/>
          <w:szCs w:val="24"/>
          <w:lang w:val="en-NZ"/>
        </w:rPr>
        <w:t>me 8 - Leadership</w:t>
      </w:r>
    </w:p>
    <w:p w:rsidR="3B5F1674" w:rsidP="3B5F1674" w:rsidRDefault="3B5F1674" w14:paraId="6DFEB454" w14:textId="5A729D47">
      <w:pPr>
        <w:pStyle w:val="Heading1"/>
        <w:keepNext w:val="0"/>
        <w:keepLines w:val="0"/>
        <w:spacing w:after="240" w:afterAutospacing="off" w:line="360" w:lineRule="auto"/>
      </w:pPr>
    </w:p>
    <w:p w:rsidR="3B5F1674" w:rsidP="3B5F1674" w:rsidRDefault="3B5F1674" w14:paraId="0ED63E53" w14:textId="587ECDE4">
      <w:pPr>
        <w:pStyle w:val="Heading1"/>
        <w:keepNext w:val="0"/>
        <w:keepLines w:val="0"/>
        <w:spacing w:after="240" w:afterAutospacing="off" w:line="360" w:lineRule="auto"/>
      </w:pPr>
    </w:p>
    <w:p w:rsidR="3B5F1674" w:rsidP="3B5F1674" w:rsidRDefault="3B5F1674" w14:paraId="17247BDB" w14:textId="58A9F9E9">
      <w:pPr>
        <w:pStyle w:val="Heading1"/>
        <w:keepNext w:val="0"/>
        <w:keepLines w:val="0"/>
        <w:spacing w:after="240" w:afterAutospacing="off" w:line="360" w:lineRule="auto"/>
      </w:pPr>
    </w:p>
    <w:p w:rsidR="00BB7E50" w:rsidP="3B5F1674" w:rsidRDefault="006C30CF" w14:paraId="5ED8313E" w14:textId="195731D0">
      <w:pPr>
        <w:pStyle w:val="Heading1"/>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006C30CF">
        <w:rPr/>
        <w:t xml:space="preserve">The </w:t>
      </w:r>
      <w:r w:rsidR="006C30CF">
        <w:rPr/>
        <w:t>Submission</w:t>
      </w:r>
    </w:p>
    <w:p w:rsidR="7D416599" w:rsidP="3ADF0089" w:rsidRDefault="7D416599" w14:paraId="2DC333E6" w14:textId="7F6C49FF">
      <w:pPr>
        <w:pStyle w:val="Normal"/>
        <w:spacing w:line="360" w:lineRule="auto"/>
      </w:pPr>
      <w:r w:rsidR="7D416599">
        <w:rPr/>
        <w:t xml:space="preserve">DPA welcomes this opportunity to </w:t>
      </w:r>
      <w:r w:rsidR="3D384EA4">
        <w:rPr/>
        <w:t>feedback to the</w:t>
      </w:r>
      <w:r w:rsidR="7D416599">
        <w:rPr/>
        <w:t xml:space="preserve"> </w:t>
      </w:r>
      <w:r w:rsidR="55C085BE">
        <w:rPr/>
        <w:t xml:space="preserve">Social Services and Community Select Committee </w:t>
      </w:r>
      <w:r w:rsidR="518F9512">
        <w:rPr/>
        <w:t xml:space="preserve">on the Oversight of </w:t>
      </w:r>
      <w:r w:rsidR="518F9512">
        <w:rPr/>
        <w:t>Oranga</w:t>
      </w:r>
      <w:r w:rsidR="518F9512">
        <w:rPr/>
        <w:t xml:space="preserve"> Tamariki System Legislation Amendment Bill.</w:t>
      </w:r>
    </w:p>
    <w:p w:rsidR="4FB47A01" w:rsidP="78A42E80" w:rsidRDefault="4FB47A01" w14:paraId="7AC817B3" w14:textId="4ABA131E">
      <w:pPr>
        <w:pStyle w:val="Normal"/>
        <w:spacing w:line="360" w:lineRule="auto"/>
        <w:rPr>
          <w:b w:val="1"/>
          <w:bCs w:val="1"/>
        </w:rPr>
      </w:pPr>
      <w:r w:rsidRPr="78A42E80" w:rsidR="4FB47A01">
        <w:rPr>
          <w:b w:val="1"/>
          <w:bCs w:val="1"/>
        </w:rPr>
        <w:t xml:space="preserve">DPA recommends that the Bill </w:t>
      </w:r>
      <w:r w:rsidRPr="78A42E80" w:rsidR="14B91DEF">
        <w:rPr>
          <w:b w:val="1"/>
          <w:bCs w:val="1"/>
        </w:rPr>
        <w:t>be passed</w:t>
      </w:r>
      <w:r w:rsidRPr="78A42E80" w:rsidR="52748F79">
        <w:rPr>
          <w:b w:val="1"/>
          <w:bCs w:val="1"/>
        </w:rPr>
        <w:t xml:space="preserve"> with amendments</w:t>
      </w:r>
      <w:r w:rsidRPr="78A42E80" w:rsidR="4FB47A01">
        <w:rPr>
          <w:b w:val="1"/>
          <w:bCs w:val="1"/>
        </w:rPr>
        <w:t>.</w:t>
      </w:r>
    </w:p>
    <w:p w:rsidR="4FB47A01" w:rsidP="7726426A" w:rsidRDefault="4FB47A01" w14:paraId="330313B9" w14:textId="72D1D180">
      <w:pPr>
        <w:pStyle w:val="Normal"/>
        <w:spacing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4FB47A01">
        <w:rPr/>
        <w:t xml:space="preserve">DPA supports </w:t>
      </w:r>
      <w:r w:rsidR="520D6F49">
        <w:rPr/>
        <w:t xml:space="preserve">this </w:t>
      </w:r>
      <w:r w:rsidR="520D6F49">
        <w:rPr/>
        <w:t xml:space="preserve">bill </w:t>
      </w:r>
      <w:r w:rsidR="4FB47A01">
        <w:rPr/>
        <w:t>revert</w:t>
      </w:r>
      <w:r w:rsidR="1CC2C119">
        <w:rPr/>
        <w:t>ing</w:t>
      </w:r>
      <w:r w:rsidR="4FB47A01">
        <w:rPr/>
        <w:t xml:space="preserve"> the </w:t>
      </w:r>
      <w:r w:rsidRPr="7726426A" w:rsidR="7C35BDC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Office of the Children’s Commissioner back </w:t>
      </w:r>
      <w:r w:rsidRPr="7726426A" w:rsidR="0E27487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to being</w:t>
      </w:r>
      <w:r w:rsidRPr="7726426A" w:rsidR="7C35BDC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 Independent Crown Entity from being part of the Education Review Office (ERO).</w:t>
      </w:r>
    </w:p>
    <w:p w:rsidR="43804FAF" w:rsidP="78A42E80" w:rsidRDefault="43804FAF" w14:paraId="0C1DE192" w14:textId="7ED3DC4D">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8A42E80" w:rsidR="43804FA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re-establishment of </w:t>
      </w:r>
      <w:r w:rsidRPr="78A42E80" w:rsidR="7C35BDC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Children’s Commissioner </w:t>
      </w:r>
      <w:r w:rsidRPr="78A42E80" w:rsidR="646490C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w:t>
      </w:r>
      <w:r w:rsidRPr="78A42E80" w:rsidR="7C35BDC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Deputy Children’s Commissioner</w:t>
      </w:r>
      <w:r w:rsidRPr="78A42E80" w:rsidR="7325FC1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roles</w:t>
      </w:r>
      <w:r w:rsidRPr="78A42E80" w:rsidR="7C35BDC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8A42E80" w:rsidR="65132D9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will provide more clarity and a sing</w:t>
      </w:r>
      <w:r w:rsidRPr="78A42E80" w:rsidR="6C0DC5A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le</w:t>
      </w:r>
      <w:r w:rsidRPr="78A42E80" w:rsidR="65132D9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point of contact for all New Zealanders, especially </w:t>
      </w:r>
      <w:r w:rsidRPr="78A42E80" w:rsidR="65132D9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tamariki</w:t>
      </w:r>
      <w:r w:rsidRPr="78A42E80" w:rsidR="65132D9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children and </w:t>
      </w:r>
      <w:r w:rsidRPr="78A42E80" w:rsidR="65132D9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rangatahi</w:t>
      </w:r>
      <w:r w:rsidRPr="78A42E80" w:rsidR="65132D9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youth who wish to contact the Office</w:t>
      </w:r>
      <w:r w:rsidRPr="78A42E80" w:rsidR="7C35BDC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t>
      </w:r>
    </w:p>
    <w:p w:rsidR="61E8CBC6" w:rsidP="7EF425D1" w:rsidRDefault="61E8CBC6" w14:paraId="0A815647" w14:textId="4A09EF2C">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EF425D1" w:rsidR="61E8CBC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However, we would like to see the current deputy commissioner(s) structure </w:t>
      </w:r>
      <w:r w:rsidRPr="7EF425D1" w:rsidR="61E8CBC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retained</w:t>
      </w:r>
      <w:r w:rsidRPr="7EF425D1" w:rsidR="61E8CBC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under the new model, a point we elaborate on towards the end of this submission.</w:t>
      </w:r>
    </w:p>
    <w:p w:rsidR="634151E8" w:rsidP="7EF425D1" w:rsidRDefault="634151E8" w14:paraId="680FBFB3" w14:textId="577E9E1B">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EF425D1" w:rsidR="634151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In 2023, DPA was one of several </w:t>
      </w:r>
      <w:r w:rsidRPr="7EF425D1" w:rsidR="634151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organisations</w:t>
      </w:r>
      <w:r w:rsidRPr="7EF425D1" w:rsidR="634151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that opposed the </w:t>
      </w:r>
      <w:r w:rsidRPr="7EF425D1" w:rsidR="634151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move to diminish the independence of the Children’s Commissioner role.</w:t>
      </w:r>
    </w:p>
    <w:p w:rsidR="0EFEC15E" w:rsidP="7EF425D1" w:rsidRDefault="0EFEC15E" w14:paraId="41833BF2" w14:textId="7C6891E4">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EF425D1" w:rsidR="634151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It is critical that </w:t>
      </w:r>
      <w:r w:rsidRPr="7EF425D1" w:rsidR="72DF277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there is an independent </w:t>
      </w:r>
      <w:r w:rsidRPr="7EF425D1" w:rsidR="634151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official voice for </w:t>
      </w:r>
      <w:r w:rsidRPr="7EF425D1" w:rsidR="7A72B28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Aotearoa’s </w:t>
      </w:r>
      <w:r w:rsidRPr="7EF425D1" w:rsidR="634151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children</w:t>
      </w:r>
      <w:r w:rsidRPr="7EF425D1" w:rsidR="206675B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EFEC15E" w:rsidP="7EF425D1" w:rsidRDefault="0EFEC15E" w14:paraId="0417183B" w14:textId="4FD1387C">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EF425D1" w:rsidR="0EFEC15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In recent times, this country has seen why </w:t>
      </w:r>
      <w:r w:rsidRPr="7EF425D1" w:rsidR="25AE16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 strong voice for children is so important in the wake of the final report from the Royal Commission into Abuse </w:t>
      </w:r>
      <w:r w:rsidRPr="7EF425D1" w:rsidR="7C142A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 Care.</w:t>
      </w:r>
    </w:p>
    <w:p w:rsidR="0EFEC15E" w:rsidP="3D7D9FD9" w:rsidRDefault="0EFEC15E" w14:paraId="67F50843" w14:textId="1599EC6E">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D7D9FD9" w:rsidR="7C142A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If a strong voice for children had existed at the time which the </w:t>
      </w:r>
      <w:r w:rsidRPr="3D7D9FD9" w:rsidR="648ADD7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w:t>
      </w:r>
      <w:r w:rsidRPr="3D7D9FD9" w:rsidR="7C142A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oyal </w:t>
      </w:r>
      <w:r w:rsidRPr="3D7D9FD9" w:rsidR="26892F6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C</w:t>
      </w:r>
      <w:r w:rsidRPr="3D7D9FD9" w:rsidR="7C142A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ommission </w:t>
      </w:r>
      <w:r w:rsidRPr="3D7D9FD9" w:rsidR="22CA513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covered </w:t>
      </w:r>
      <w:r w:rsidRPr="3D7D9FD9" w:rsidR="7C142A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(1950-1999) then things may have been different for the thousands of children</w:t>
      </w:r>
      <w:r w:rsidRPr="3D7D9FD9" w:rsidR="3D34219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 young people</w:t>
      </w:r>
      <w:r w:rsidRPr="3D7D9FD9" w:rsidR="7C142A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who did suffer</w:t>
      </w:r>
      <w:r w:rsidRPr="3D7D9FD9" w:rsidR="2AB0BD1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abuse, including disabled </w:t>
      </w:r>
      <w:r w:rsidRPr="3D7D9FD9" w:rsidR="2AB0BD1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tamariki</w:t>
      </w:r>
      <w:r w:rsidRPr="3D7D9FD9" w:rsidR="7393224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children and </w:t>
      </w:r>
      <w:r w:rsidRPr="3D7D9FD9" w:rsidR="7393224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rangatahi</w:t>
      </w:r>
      <w:r w:rsidRPr="3D7D9FD9" w:rsidR="7393224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youth</w:t>
      </w:r>
      <w:r w:rsidRPr="3D7D9FD9" w:rsidR="2AB0BD1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1E1EE30B" w:rsidP="7EF425D1" w:rsidRDefault="1E1EE30B" w14:paraId="2B0C19FA" w14:textId="78F190D2">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EF425D1" w:rsidR="1960483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C</w:t>
      </w:r>
      <w:r w:rsidRPr="7EF425D1" w:rsidR="2AB0BD1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hildren’s rights</w:t>
      </w:r>
      <w:r w:rsidRPr="7EF425D1" w:rsidR="226528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 especially disabled children’s and young people’s rights</w:t>
      </w:r>
      <w:r w:rsidRPr="7EF425D1" w:rsidR="2AB0BD1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continue to be violated, and it is important that an autonomous commissioner</w:t>
      </w:r>
      <w:r w:rsidRPr="7EF425D1" w:rsidR="634151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EF425D1" w:rsidR="4469C0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continues to speak up for all our </w:t>
      </w:r>
      <w:r w:rsidRPr="7EF425D1" w:rsidR="4469C0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tamariki</w:t>
      </w:r>
      <w:r w:rsidRPr="7EF425D1" w:rsidR="716D193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especially</w:t>
      </w:r>
      <w:r w:rsidRPr="7EF425D1" w:rsidR="28A891C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given </w:t>
      </w:r>
      <w:r w:rsidRPr="7EF425D1" w:rsidR="716D193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the re-introduction of boot camps for young serious offenders</w:t>
      </w:r>
      <w:r w:rsidRPr="7EF425D1" w:rsidR="1958BBF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1E1EE30B" w:rsidP="7EF425D1" w:rsidRDefault="1E1EE30B" w14:paraId="4DFD8845" w14:textId="0BC1D2E8">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EF425D1" w:rsidR="1E1EE30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In the disability space, </w:t>
      </w:r>
      <w:r w:rsidRPr="7EF425D1" w:rsidR="4469C0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DPA has been appreciative of the work that the Office of the Commissioner has done in recent times on issues </w:t>
      </w:r>
      <w:r w:rsidRPr="7EF425D1" w:rsidR="4469C0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pertaining to</w:t>
      </w:r>
      <w:r w:rsidRPr="7EF425D1" w:rsidR="4469C0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 rights and interests of disabled children, including, for example, </w:t>
      </w:r>
      <w:r w:rsidRPr="7EF425D1" w:rsidR="6121057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reporting on what constitutes a good life for disabled children and young people</w:t>
      </w:r>
      <w:r w:rsidRPr="7EF425D1" w:rsidR="6548371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 </w:t>
      </w:r>
      <w:bookmarkStart w:name="_Int_5BByaRm4" w:id="1201006590"/>
      <w:r w:rsidRPr="7EF425D1" w:rsidR="6548371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2021</w:t>
      </w:r>
      <w:r w:rsidRPr="7EF425D1" w:rsidR="6121057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7EF425D1">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3320"/>
      </w:r>
      <w:bookmarkEnd w:id="1201006590"/>
      <w:r w:rsidRPr="7EF425D1" w:rsidR="48C4AAB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48C4AABD" w:rsidP="7726426A" w:rsidRDefault="48C4AABD" w14:paraId="5BDA4DFC" w14:textId="13E0F241">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726426A" w:rsidR="48C4AAB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However, we are </w:t>
      </w:r>
      <w:r w:rsidRPr="7726426A" w:rsidR="7DFD00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concerned </w:t>
      </w:r>
      <w:r w:rsidRPr="7726426A" w:rsidR="48C4AAB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that the advisory boa</w:t>
      </w:r>
      <w:r w:rsidRPr="7726426A" w:rsidR="48C4AAB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rd </w:t>
      </w:r>
      <w:r w:rsidRPr="7726426A" w:rsidR="48C4AAB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compris</w:t>
      </w:r>
      <w:r w:rsidRPr="7726426A" w:rsidR="48C4AAB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ing</w:t>
      </w:r>
      <w:r w:rsidRPr="7726426A" w:rsidR="48C4AAB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four </w:t>
      </w:r>
      <w:r w:rsidRPr="7726426A" w:rsidR="7FD829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deputy commissioners</w:t>
      </w:r>
      <w:r w:rsidRPr="7726426A" w:rsidR="48C4AAB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including a representative from the disability </w:t>
      </w:r>
      <w:r w:rsidRPr="7726426A" w:rsidR="72275B9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community, is</w:t>
      </w:r>
      <w:r w:rsidRPr="7726426A" w:rsidR="1281C66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proposed to be</w:t>
      </w:r>
      <w:r w:rsidRPr="7726426A" w:rsidR="766916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726426A" w:rsidR="766916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dis-established as part of the move back towards being a sole corporate body.</w:t>
      </w:r>
    </w:p>
    <w:p w:rsidR="766916DC" w:rsidP="7EF425D1" w:rsidRDefault="766916DC" w14:paraId="6AC07F16" w14:textId="250A7501">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EF425D1" w:rsidR="766916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This brings us to our</w:t>
      </w:r>
      <w:r w:rsidRPr="7EF425D1" w:rsidR="77B3B82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first recommendation</w:t>
      </w:r>
      <w:r w:rsidRPr="7EF425D1" w:rsidR="766916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that</w:t>
      </w:r>
      <w:r w:rsidRPr="7EF425D1" w:rsidR="6C9AFE6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 Bill be amended to </w:t>
      </w:r>
      <w:r w:rsidRPr="7EF425D1" w:rsidR="6047768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enable the appointment of up to four deputy commissioners</w:t>
      </w:r>
      <w:r w:rsidRPr="7EF425D1" w:rsidR="766916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EF425D1" w:rsidR="67D6293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instead</w:t>
      </w:r>
      <w:r w:rsidRPr="7EF425D1" w:rsidR="0BDC79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EF425D1" w:rsidR="0BDC79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of </w:t>
      </w:r>
      <w:r w:rsidRPr="7EF425D1" w:rsidR="1CD59F4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the proposed</w:t>
      </w:r>
      <w:r w:rsidRPr="7EF425D1" w:rsidR="0BDC79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single deputy commissioner to enable the continuation of this structure which has brought disability, </w:t>
      </w:r>
      <w:r w:rsidRPr="7EF425D1" w:rsidR="0BDC79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Māori</w:t>
      </w:r>
      <w:r w:rsidRPr="7EF425D1" w:rsidR="0BDC79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 Pasifika voices, amongst others into the Office of the Children’s Commissioner.</w:t>
      </w:r>
    </w:p>
    <w:p w:rsidR="0BDC7973" w:rsidP="78A42E80" w:rsidRDefault="0BDC7973" w14:paraId="4AE25C90" w14:textId="00FBE45C">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8A42E80" w:rsidR="0BDC79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w:t>
      </w:r>
      <w:r w:rsidRPr="78A42E80" w:rsidR="681F64B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ur second recommendation pertains </w:t>
      </w:r>
      <w:r w:rsidRPr="78A42E80" w:rsidR="7DF2768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to the title of the Office which should remain as the Office of the Children and Young Person’s Commissioner to enable the voices of </w:t>
      </w:r>
      <w:r w:rsidRPr="78A42E80" w:rsidR="7DF2768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rangatahi</w:t>
      </w:r>
      <w:r w:rsidRPr="78A42E80" w:rsidR="7DF2768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youth to also </w:t>
      </w:r>
      <w:r w:rsidRPr="78A42E80" w:rsidR="7DF2768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remain</w:t>
      </w:r>
      <w:r w:rsidRPr="78A42E80" w:rsidR="1082E9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elevated within the new structure.</w:t>
      </w:r>
    </w:p>
    <w:tbl>
      <w:tblPr>
        <w:tblStyle w:val="TableGrid"/>
        <w:tblW w:w="0" w:type="auto"/>
        <w:tblLayout w:type="fixed"/>
        <w:tblLook w:val="06A0" w:firstRow="1" w:lastRow="0" w:firstColumn="1" w:lastColumn="0" w:noHBand="1" w:noVBand="1"/>
      </w:tblPr>
      <w:tblGrid>
        <w:gridCol w:w="9015"/>
      </w:tblGrid>
      <w:tr w:rsidR="78A42E80" w:rsidTr="78A42E80" w14:paraId="38BFF4F7">
        <w:trPr>
          <w:trHeight w:val="300"/>
        </w:trPr>
        <w:tc>
          <w:tcPr>
            <w:tcW w:w="9015" w:type="dxa"/>
            <w:tcMar/>
          </w:tcPr>
          <w:p w:rsidR="6444A06A" w:rsidP="78A42E80" w:rsidRDefault="6444A06A" w14:paraId="0AABEBEB" w14:textId="3BD6E3A0">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8A42E80" w:rsidR="6444A06A">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Recommendation 1: </w:t>
            </w:r>
            <w:r w:rsidRPr="78A42E80" w:rsidR="6444A06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that the Bill be amended to enable the appointment of up to four deputy commissioners.</w:t>
            </w:r>
          </w:p>
        </w:tc>
      </w:tr>
    </w:tbl>
    <w:p w:rsidR="78A42E80" w:rsidP="78A42E80" w:rsidRDefault="78A42E80" w14:paraId="306BB431" w14:textId="64F443FC">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tbl>
      <w:tblPr>
        <w:tblStyle w:val="TableGrid"/>
        <w:tblW w:w="0" w:type="auto"/>
        <w:tblLayout w:type="fixed"/>
        <w:tblLook w:val="06A0" w:firstRow="1" w:lastRow="0" w:firstColumn="1" w:lastColumn="0" w:noHBand="1" w:noVBand="1"/>
      </w:tblPr>
      <w:tblGrid>
        <w:gridCol w:w="9015"/>
      </w:tblGrid>
      <w:tr w:rsidR="78A42E80" w:rsidTr="7EF425D1" w14:paraId="78BD7C22">
        <w:trPr>
          <w:trHeight w:val="300"/>
        </w:trPr>
        <w:tc>
          <w:tcPr>
            <w:tcW w:w="9015" w:type="dxa"/>
            <w:tcMar/>
          </w:tcPr>
          <w:p w:rsidR="6444A06A" w:rsidP="7EF425D1" w:rsidRDefault="6444A06A" w14:paraId="62D15D3D" w14:textId="0CADBFB4">
            <w:pPr>
              <w:pStyle w:val="Normal"/>
              <w:spacing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EF425D1" w:rsidR="5BC2093C">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Recommendation 2: </w:t>
            </w:r>
            <w:r w:rsidRPr="7EF425D1" w:rsidR="5BC2093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that the Bill be amended to enable the title of the Office to </w:t>
            </w:r>
            <w:r w:rsidRPr="7EF425D1" w:rsidR="5BC2093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remain</w:t>
            </w:r>
            <w:r w:rsidRPr="7EF425D1" w:rsidR="5BC2093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as that of the Office of the Children’s and Young Person’s Commissioner.</w:t>
            </w:r>
          </w:p>
        </w:tc>
      </w:tr>
    </w:tbl>
    <w:p w:rsidR="7EF425D1" w:rsidP="7EF425D1" w:rsidRDefault="7EF425D1" w14:paraId="6F1A2920" w14:textId="12DA2B6F">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65437E6A" w:rsidP="7726426A" w:rsidRDefault="65437E6A" w14:paraId="66FCB894" w14:textId="25DC5B9A">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7726426A" w:rsidR="65437E6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Otherwise, </w:t>
      </w:r>
      <w:r w:rsidRPr="7726426A" w:rsidR="2430F63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DPA is supportive of the bill</w:t>
      </w:r>
      <w:r w:rsidRPr="7726426A" w:rsidR="65437E6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as being important in </w:t>
      </w:r>
      <w:r w:rsidRPr="7726426A" w:rsidR="794D77D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support</w:t>
      </w:r>
      <w:r w:rsidRPr="7726426A" w:rsidR="4B3E45C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ing</w:t>
      </w:r>
      <w:r w:rsidRPr="7726426A" w:rsidR="794D77D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7726426A" w:rsidR="65437E6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 voice for </w:t>
      </w:r>
      <w:r w:rsidRPr="7726426A" w:rsidR="0D9AC55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all</w:t>
      </w:r>
      <w:r w:rsidRPr="7726426A" w:rsidR="4C1B5CE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w:t>
      </w:r>
      <w:r w:rsidRPr="7726426A" w:rsidR="65437E6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children and young people of our country, including disabled children and young people.</w:t>
      </w:r>
    </w:p>
    <w:p w:rsidR="78A42E80" w:rsidP="78A42E80" w:rsidRDefault="78A42E80" w14:paraId="3BB57F03" w14:textId="5E673006">
      <w:pPr>
        <w:pStyle w:val="Normal"/>
        <w:spacing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006E2338" w:rsidP="78A42E80" w:rsidRDefault="006E2338" w14:paraId="106DC4F5" w14:textId="64C21567">
      <w:pPr>
        <w:pStyle w:val="Heading2"/>
        <w:keepNext w:val="0"/>
        <w:keepLines w:val="0"/>
        <w:spacing w:after="0" w:afterAutospacing="off" w:line="36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977">
    <w:p w:rsidR="51171975" w:rsidP="51171975" w:rsidRDefault="51171975" w14:paraId="72E3CDAB" w14:textId="39E350D6">
      <w:pPr>
        <w:pStyle w:val="FootnoteText"/>
        <w:bidi w:val="0"/>
      </w:pPr>
      <w:r w:rsidRPr="51171975">
        <w:rPr>
          <w:rStyle w:val="FootnoteReference"/>
        </w:rPr>
        <w:footnoteRef/>
      </w:r>
      <w:r w:rsidR="51171975">
        <w:rPr/>
        <w:t xml:space="preserve"> </w:t>
      </w:r>
      <w:hyperlink r:id="R34da3bf2ad354db3">
        <w:r w:rsidRPr="51171975" w:rsidR="51171975">
          <w:rPr>
            <w:rStyle w:val="Hyperlink"/>
          </w:rPr>
          <w:t>https://www.ohchr.org/en/instruments-mechanisms/instruments/convention-rights-persons-disabilities</w:t>
        </w:r>
      </w:hyperlink>
    </w:p>
    <w:p w:rsidR="51171975" w:rsidP="51171975" w:rsidRDefault="51171975" w14:paraId="1C0916A6" w14:textId="508E8B2A">
      <w:pPr>
        <w:pStyle w:val="FootnoteText"/>
        <w:bidi w:val="0"/>
      </w:pPr>
    </w:p>
  </w:footnote>
  <w:footnote w:id="14411">
    <w:p w:rsidR="51171975" w:rsidP="51171975" w:rsidRDefault="51171975" w14:paraId="57F8FFE9" w14:textId="25521D74">
      <w:pPr>
        <w:pStyle w:val="FootnoteText"/>
        <w:bidi w:val="0"/>
      </w:pPr>
      <w:r w:rsidRPr="51171975">
        <w:rPr>
          <w:rStyle w:val="FootnoteReference"/>
        </w:rPr>
        <w:footnoteRef/>
      </w:r>
      <w:r w:rsidR="51171975">
        <w:rPr/>
        <w:t xml:space="preserve"> </w:t>
      </w:r>
      <w:hyperlink r:id="R2a8faea352934642">
        <w:r w:rsidRPr="51171975" w:rsidR="51171975">
          <w:rPr>
            <w:rStyle w:val="Hyperlink"/>
          </w:rPr>
          <w:t>https://www.odi.govt.nz/nz-disability-strategy/</w:t>
        </w:r>
      </w:hyperlink>
    </w:p>
    <w:p w:rsidR="51171975" w:rsidP="51171975" w:rsidRDefault="51171975" w14:paraId="272034A6" w14:textId="5B05BFFC">
      <w:pPr>
        <w:pStyle w:val="FootnoteText"/>
        <w:bidi w:val="0"/>
      </w:pPr>
    </w:p>
  </w:footnote>
  <w:footnote w:id="3320">
    <w:p w:rsidR="78A42E80" w:rsidP="78A42E80" w:rsidRDefault="78A42E80" w14:paraId="785D987E" w14:textId="4B75D2A2">
      <w:pPr>
        <w:pStyle w:val="FootnoteText"/>
        <w:bidi w:val="0"/>
      </w:pPr>
      <w:r w:rsidRPr="78A42E80">
        <w:rPr>
          <w:rStyle w:val="FootnoteReference"/>
        </w:rPr>
        <w:footnoteRef/>
      </w:r>
      <w:r w:rsidR="78A42E80">
        <w:rPr/>
        <w:t xml:space="preserve"> </w:t>
      </w:r>
      <w:hyperlink r:id="Rf358f64e63cd476e">
        <w:r w:rsidRPr="78A42E80" w:rsidR="78A42E80">
          <w:rPr>
            <w:rStyle w:val="Hyperlink"/>
          </w:rPr>
          <w:t>https://www.manamokopuna.org.nz/publications/reports/disabled-children-young-people-summary-report/</w:t>
        </w:r>
      </w:hyperlink>
    </w:p>
    <w:p w:rsidR="78A42E80" w:rsidP="78A42E80" w:rsidRDefault="78A42E80" w14:paraId="5FE69990" w14:textId="193E0CF5">
      <w:pPr>
        <w:pStyle w:val="FootnoteText"/>
        <w:bidi w:val="0"/>
      </w:pPr>
    </w:p>
  </w:footnote>
</w:footnotes>
</file>

<file path=word/intelligence2.xml><?xml version="1.0" encoding="utf-8"?>
<int2:intelligence xmlns:int2="http://schemas.microsoft.com/office/intelligence/2020/intelligence">
  <int2:observations>
    <int2:textHash int2:hashCode="kByidkXaRxGvMx" int2:id="I9iXrLRC">
      <int2:state int2:type="AugLoop_Text_Critique" int2:value="Rejected"/>
    </int2:textHash>
    <int2:textHash int2:hashCode="IhYb7sPp1SUteF" int2:id="N4dpWwwW">
      <int2:state int2:type="AugLoop_Text_Critique" int2:value="Rejected"/>
    </int2:textHash>
    <int2:textHash int2:hashCode="FyBK+9ZRljBbl7" int2:id="O8ruuZao">
      <int2:state int2:type="AugLoop_Text_Critique" int2:value="Rejected"/>
    </int2:textHash>
    <int2:bookmark int2:bookmarkName="_Int_5BByaRm4" int2:invalidationBookmarkName="" int2:hashCode="PGhunygY6H4mHl" int2:id="a3Qfkl1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8">
    <w:nsid w:val="524bb4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cac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95e6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b544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f01e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006df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9ff45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31151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26d9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be27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9035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3f2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9639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c06e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cda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bf0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8e2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e9b0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671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1192037444">
    <w:abstractNumId w:val="7"/>
  </w:num>
  <w:num w:numId="2" w16cid:durableId="356932750">
    <w:abstractNumId w:val="3"/>
  </w:num>
  <w:num w:numId="3" w16cid:durableId="220167830">
    <w:abstractNumId w:val="20"/>
  </w:num>
  <w:num w:numId="4" w16cid:durableId="25301161">
    <w:abstractNumId w:val="14"/>
  </w:num>
  <w:num w:numId="5" w16cid:durableId="1751850489">
    <w:abstractNumId w:val="16"/>
  </w:num>
  <w:num w:numId="6" w16cid:durableId="705910267">
    <w:abstractNumId w:val="25"/>
  </w:num>
  <w:num w:numId="7" w16cid:durableId="268657952">
    <w:abstractNumId w:val="24"/>
  </w:num>
  <w:num w:numId="8" w16cid:durableId="1116290010">
    <w:abstractNumId w:val="27"/>
  </w:num>
  <w:num w:numId="9" w16cid:durableId="737554353">
    <w:abstractNumId w:val="9"/>
  </w:num>
  <w:num w:numId="10" w16cid:durableId="1447189783">
    <w:abstractNumId w:val="6"/>
  </w:num>
  <w:num w:numId="11" w16cid:durableId="446513715">
    <w:abstractNumId w:val="5"/>
  </w:num>
  <w:num w:numId="12" w16cid:durableId="1488085910">
    <w:abstractNumId w:val="4"/>
  </w:num>
  <w:num w:numId="13" w16cid:durableId="462431353">
    <w:abstractNumId w:val="8"/>
  </w:num>
  <w:num w:numId="14" w16cid:durableId="791939577">
    <w:abstractNumId w:val="2"/>
  </w:num>
  <w:num w:numId="15" w16cid:durableId="1008630470">
    <w:abstractNumId w:val="1"/>
  </w:num>
  <w:num w:numId="16" w16cid:durableId="2060470008">
    <w:abstractNumId w:val="0"/>
  </w:num>
  <w:num w:numId="17" w16cid:durableId="1979335420">
    <w:abstractNumId w:val="29"/>
  </w:num>
  <w:num w:numId="18" w16cid:durableId="125314328">
    <w:abstractNumId w:val="18"/>
  </w:num>
  <w:num w:numId="19" w16cid:durableId="196626558">
    <w:abstractNumId w:val="23"/>
  </w:num>
  <w:num w:numId="20" w16cid:durableId="992493483">
    <w:abstractNumId w:val="21"/>
  </w:num>
  <w:num w:numId="21" w16cid:durableId="884218452">
    <w:abstractNumId w:val="17"/>
  </w:num>
  <w:num w:numId="22" w16cid:durableId="998342359">
    <w:abstractNumId w:val="26"/>
  </w:num>
  <w:num w:numId="23" w16cid:durableId="521473645">
    <w:abstractNumId w:val="12"/>
  </w:num>
  <w:num w:numId="24" w16cid:durableId="1425418937">
    <w:abstractNumId w:val="22"/>
  </w:num>
  <w:num w:numId="25" w16cid:durableId="617758634">
    <w:abstractNumId w:val="19"/>
  </w:num>
  <w:num w:numId="26" w16cid:durableId="1378119871">
    <w:abstractNumId w:val="15"/>
  </w:num>
  <w:num w:numId="27" w16cid:durableId="1914273176">
    <w:abstractNumId w:val="11"/>
  </w:num>
  <w:num w:numId="28" w16cid:durableId="571743726">
    <w:abstractNumId w:val="28"/>
  </w:num>
  <w:num w:numId="29" w16cid:durableId="434249693">
    <w:abstractNumId w:val="10"/>
  </w:num>
  <w:num w:numId="30" w16cid:durableId="6627362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4F98"/>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2E8447"/>
    <w:rsid w:val="01BF3AC0"/>
    <w:rsid w:val="0251F4DC"/>
    <w:rsid w:val="025DE97D"/>
    <w:rsid w:val="05DF6134"/>
    <w:rsid w:val="079CDEAF"/>
    <w:rsid w:val="092FC618"/>
    <w:rsid w:val="09A92A6B"/>
    <w:rsid w:val="09CDB1CE"/>
    <w:rsid w:val="09FC23D8"/>
    <w:rsid w:val="0A2B17C1"/>
    <w:rsid w:val="0A6FCEE9"/>
    <w:rsid w:val="0AC189A2"/>
    <w:rsid w:val="0BB9DE36"/>
    <w:rsid w:val="0BDC7973"/>
    <w:rsid w:val="0C5D005F"/>
    <w:rsid w:val="0CE0C88F"/>
    <w:rsid w:val="0CFED7C0"/>
    <w:rsid w:val="0D8AC93F"/>
    <w:rsid w:val="0D9AC55A"/>
    <w:rsid w:val="0E03E400"/>
    <w:rsid w:val="0E274874"/>
    <w:rsid w:val="0E97A3B1"/>
    <w:rsid w:val="0EFEC15E"/>
    <w:rsid w:val="0F952AAD"/>
    <w:rsid w:val="105293B7"/>
    <w:rsid w:val="1082E9FC"/>
    <w:rsid w:val="11150145"/>
    <w:rsid w:val="127F9BCD"/>
    <w:rsid w:val="1281C660"/>
    <w:rsid w:val="13287B2D"/>
    <w:rsid w:val="1357158B"/>
    <w:rsid w:val="13C48771"/>
    <w:rsid w:val="14B91DEF"/>
    <w:rsid w:val="1527B478"/>
    <w:rsid w:val="16E72954"/>
    <w:rsid w:val="1736356D"/>
    <w:rsid w:val="174D6B03"/>
    <w:rsid w:val="1885DA46"/>
    <w:rsid w:val="18B9B8C4"/>
    <w:rsid w:val="1958BBFA"/>
    <w:rsid w:val="1960483E"/>
    <w:rsid w:val="1CAF29CB"/>
    <w:rsid w:val="1CC2C119"/>
    <w:rsid w:val="1CC79082"/>
    <w:rsid w:val="1CD59F45"/>
    <w:rsid w:val="1E1EE30B"/>
    <w:rsid w:val="1ED4027A"/>
    <w:rsid w:val="1F32060A"/>
    <w:rsid w:val="206675B9"/>
    <w:rsid w:val="214BE961"/>
    <w:rsid w:val="21BDF289"/>
    <w:rsid w:val="21D26242"/>
    <w:rsid w:val="2265285C"/>
    <w:rsid w:val="22CA5130"/>
    <w:rsid w:val="23B13295"/>
    <w:rsid w:val="2418F630"/>
    <w:rsid w:val="2430F636"/>
    <w:rsid w:val="25AE1651"/>
    <w:rsid w:val="25F01A3B"/>
    <w:rsid w:val="26892F65"/>
    <w:rsid w:val="28363DF1"/>
    <w:rsid w:val="28A891C2"/>
    <w:rsid w:val="297C46B8"/>
    <w:rsid w:val="2A0B4987"/>
    <w:rsid w:val="2A3FFC99"/>
    <w:rsid w:val="2AB0BD18"/>
    <w:rsid w:val="2BC89BB4"/>
    <w:rsid w:val="2CB76518"/>
    <w:rsid w:val="2D646C15"/>
    <w:rsid w:val="2DCDC675"/>
    <w:rsid w:val="2E0A3C79"/>
    <w:rsid w:val="2E95EAF4"/>
    <w:rsid w:val="2F9775EB"/>
    <w:rsid w:val="305482AF"/>
    <w:rsid w:val="31FAB729"/>
    <w:rsid w:val="32C180BE"/>
    <w:rsid w:val="3305A05C"/>
    <w:rsid w:val="342E5C4A"/>
    <w:rsid w:val="34DC8F8C"/>
    <w:rsid w:val="35A8198D"/>
    <w:rsid w:val="3625279C"/>
    <w:rsid w:val="3781BF49"/>
    <w:rsid w:val="37BA20BF"/>
    <w:rsid w:val="38BCFB06"/>
    <w:rsid w:val="39289194"/>
    <w:rsid w:val="3AAB17BD"/>
    <w:rsid w:val="3ABED12C"/>
    <w:rsid w:val="3ADF0089"/>
    <w:rsid w:val="3B5F1674"/>
    <w:rsid w:val="3B8B6F98"/>
    <w:rsid w:val="3D342198"/>
    <w:rsid w:val="3D384EA4"/>
    <w:rsid w:val="3D7D9FD9"/>
    <w:rsid w:val="3D7E72B3"/>
    <w:rsid w:val="3DC62260"/>
    <w:rsid w:val="3DED384F"/>
    <w:rsid w:val="40D6D4EB"/>
    <w:rsid w:val="40DD35FD"/>
    <w:rsid w:val="417185E9"/>
    <w:rsid w:val="422C856E"/>
    <w:rsid w:val="43804FAF"/>
    <w:rsid w:val="43C4D4E6"/>
    <w:rsid w:val="43ED6DA6"/>
    <w:rsid w:val="4469C034"/>
    <w:rsid w:val="447378B5"/>
    <w:rsid w:val="44ED7D94"/>
    <w:rsid w:val="45CDA407"/>
    <w:rsid w:val="4633653B"/>
    <w:rsid w:val="466E5120"/>
    <w:rsid w:val="4892EA50"/>
    <w:rsid w:val="48C4AABD"/>
    <w:rsid w:val="4B3E45CC"/>
    <w:rsid w:val="4BF4C05F"/>
    <w:rsid w:val="4C1B5CE7"/>
    <w:rsid w:val="4C440A45"/>
    <w:rsid w:val="4C7A2CC1"/>
    <w:rsid w:val="4CD27166"/>
    <w:rsid w:val="4DD48A6F"/>
    <w:rsid w:val="4E3B24FB"/>
    <w:rsid w:val="4F442523"/>
    <w:rsid w:val="4F67A6B4"/>
    <w:rsid w:val="4FA13495"/>
    <w:rsid w:val="4FB47A01"/>
    <w:rsid w:val="500CC290"/>
    <w:rsid w:val="50D50C7A"/>
    <w:rsid w:val="51171975"/>
    <w:rsid w:val="517C8FAF"/>
    <w:rsid w:val="518F9512"/>
    <w:rsid w:val="520D6F49"/>
    <w:rsid w:val="52475C71"/>
    <w:rsid w:val="526C8822"/>
    <w:rsid w:val="52748F79"/>
    <w:rsid w:val="529D492D"/>
    <w:rsid w:val="52A011B8"/>
    <w:rsid w:val="535DDC0C"/>
    <w:rsid w:val="54DA55CE"/>
    <w:rsid w:val="55C085BE"/>
    <w:rsid w:val="55D2EEA2"/>
    <w:rsid w:val="56154B41"/>
    <w:rsid w:val="56843A44"/>
    <w:rsid w:val="56F5A22D"/>
    <w:rsid w:val="5708E0EC"/>
    <w:rsid w:val="572D5E23"/>
    <w:rsid w:val="594D09B5"/>
    <w:rsid w:val="594F8E5A"/>
    <w:rsid w:val="5A1AFCA5"/>
    <w:rsid w:val="5A4379AA"/>
    <w:rsid w:val="5A794438"/>
    <w:rsid w:val="5B4EB5AF"/>
    <w:rsid w:val="5B856C2B"/>
    <w:rsid w:val="5BC2093C"/>
    <w:rsid w:val="5D28E397"/>
    <w:rsid w:val="5F0F1C35"/>
    <w:rsid w:val="60477682"/>
    <w:rsid w:val="60B5B5CC"/>
    <w:rsid w:val="60BE7875"/>
    <w:rsid w:val="61210572"/>
    <w:rsid w:val="61E8CBC6"/>
    <w:rsid w:val="6247E35F"/>
    <w:rsid w:val="634151E8"/>
    <w:rsid w:val="641F2663"/>
    <w:rsid w:val="643B6457"/>
    <w:rsid w:val="6444A06A"/>
    <w:rsid w:val="646490C1"/>
    <w:rsid w:val="648ADD72"/>
    <w:rsid w:val="65132D9F"/>
    <w:rsid w:val="65437E6A"/>
    <w:rsid w:val="6548371E"/>
    <w:rsid w:val="656AE33C"/>
    <w:rsid w:val="67D62932"/>
    <w:rsid w:val="681F64BF"/>
    <w:rsid w:val="68A0510C"/>
    <w:rsid w:val="69B2566D"/>
    <w:rsid w:val="6A529776"/>
    <w:rsid w:val="6AFA3C2A"/>
    <w:rsid w:val="6BC2E060"/>
    <w:rsid w:val="6C0DC5A2"/>
    <w:rsid w:val="6C9AFE66"/>
    <w:rsid w:val="6DB87875"/>
    <w:rsid w:val="6E213054"/>
    <w:rsid w:val="6EA71F23"/>
    <w:rsid w:val="706795DA"/>
    <w:rsid w:val="70870600"/>
    <w:rsid w:val="716D1930"/>
    <w:rsid w:val="71A25950"/>
    <w:rsid w:val="71B01AAF"/>
    <w:rsid w:val="72275B9A"/>
    <w:rsid w:val="72576C6C"/>
    <w:rsid w:val="72DF2774"/>
    <w:rsid w:val="7325FC1B"/>
    <w:rsid w:val="737CCECD"/>
    <w:rsid w:val="7393224E"/>
    <w:rsid w:val="73F58A3B"/>
    <w:rsid w:val="7422829D"/>
    <w:rsid w:val="745BDFC8"/>
    <w:rsid w:val="753B5128"/>
    <w:rsid w:val="757454A4"/>
    <w:rsid w:val="7639F8E6"/>
    <w:rsid w:val="766916DC"/>
    <w:rsid w:val="76983963"/>
    <w:rsid w:val="7726426A"/>
    <w:rsid w:val="77972C4C"/>
    <w:rsid w:val="77B3B82C"/>
    <w:rsid w:val="78A42E80"/>
    <w:rsid w:val="78E76EAA"/>
    <w:rsid w:val="794D77D3"/>
    <w:rsid w:val="7A374EE0"/>
    <w:rsid w:val="7A72B281"/>
    <w:rsid w:val="7ABDDB9C"/>
    <w:rsid w:val="7BB25C09"/>
    <w:rsid w:val="7C142A08"/>
    <w:rsid w:val="7C31E928"/>
    <w:rsid w:val="7C35BDC1"/>
    <w:rsid w:val="7C3F789A"/>
    <w:rsid w:val="7CA45298"/>
    <w:rsid w:val="7CE88322"/>
    <w:rsid w:val="7D416599"/>
    <w:rsid w:val="7DF2768F"/>
    <w:rsid w:val="7DFD0008"/>
    <w:rsid w:val="7E9DCD4F"/>
    <w:rsid w:val="7EF425D1"/>
    <w:rsid w:val="7F44E9EC"/>
    <w:rsid w:val="7F55B958"/>
    <w:rsid w:val="7F9377CE"/>
    <w:rsid w:val="7FD8294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
      </w:numPr>
      <w:contextualSpacing/>
    </w:pPr>
  </w:style>
  <w:style w:type="paragraph" w:styleId="ListNumber2">
    <w:name w:val="List Number 2"/>
    <w:basedOn w:val="Normal"/>
    <w:uiPriority w:val="10"/>
    <w:qFormat/>
    <w:rsid w:val="00DD76BA"/>
    <w:pPr>
      <w:numPr>
        <w:numId w:val="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odi.govt.nz/nz-disability-strategy/" TargetMode="External" Id="rId18" /><Relationship Type="http://schemas.openxmlformats.org/officeDocument/2006/relationships/customXml" Target="../customXml/item3.xml" Id="rId3" /><Relationship Type="http://schemas.openxmlformats.org/officeDocument/2006/relationships/hyperlink" Target="https://www.moh.govt.nz/notebook/nbbooks.nsf/0/5E544A3A23BEAECDCC2580FE007F7518/$file/faiva-ora-2016-2021-national-pasifika-disability-plan-feb17.pdf"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un.org/development/desa/disabilities/convention-on-the-rights-of-persons-with-disabilities.html" TargetMode="External" Id="rId17" /><Relationship Type="http://schemas.openxmlformats.org/officeDocument/2006/relationships/customXml" Target="../customXml/item2.xml" Id="rId2" /><Relationship Type="http://schemas.openxmlformats.org/officeDocument/2006/relationships/hyperlink" Target="https://www.odi.govt.nz/guidance-and-resources/guidance-for-policy-makes/" TargetMode="External" Id="rId16" /><Relationship Type="http://schemas.openxmlformats.org/officeDocument/2006/relationships/hyperlink" Target="https://www.health.govt.nz/publication/whaia-te-ao-marama-2018-2022-maori-disability-action-plan"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https://www.archives.govt.nz/discover-our-stories/the-treaty-of-waitangi"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enablinggoodlives.co.nz/about-egl/egl-approach/principl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hyperlink" Target="mailto:policy@dpa.org.nz" TargetMode="External" Id="R40757c4f74a64db5" /><Relationship Type="http://schemas.microsoft.com/office/2020/10/relationships/intelligence" Target="intelligence2.xml" Id="Rc9e39fc52e4b4d08" /></Relationships>
</file>

<file path=word/_rels/footnotes.xml.rels>&#65279;<?xml version="1.0" encoding="utf-8"?><Relationships xmlns="http://schemas.openxmlformats.org/package/2006/relationships"><Relationship Type="http://schemas.openxmlformats.org/officeDocument/2006/relationships/hyperlink" Target="https://www.ohchr.org/en/instruments-mechanisms/instruments/convention-rights-persons-disabilities" TargetMode="External" Id="R34da3bf2ad354db3" /><Relationship Type="http://schemas.openxmlformats.org/officeDocument/2006/relationships/hyperlink" Target="https://www.odi.govt.nz/nz-disability-strategy/" TargetMode="External" Id="R2a8faea352934642" /><Relationship Type="http://schemas.openxmlformats.org/officeDocument/2006/relationships/hyperlink" Target="https://www.manamokopuna.org.nz/publications/reports/disabled-children-young-people-summary-report/" TargetMode="External" Id="Rf358f64e63cd47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21</revision>
  <lastPrinted>2020-04-01T16:17:00.0000000Z</lastPrinted>
  <dcterms:created xsi:type="dcterms:W3CDTF">2024-04-05T01:44:00.0000000Z</dcterms:created>
  <dcterms:modified xsi:type="dcterms:W3CDTF">2024-12-05T03:39:03.2527089Z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